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1739">
      <w:pPr>
        <w:pStyle w:val="Ttulo1"/>
        <w:jc w:val="center"/>
        <w:rPr>
          <w:rFonts w:ascii="univers" w:hAnsi="univers" w:cs="Courier New"/>
          <w:sz w:val="22"/>
          <w:szCs w:val="22"/>
          <w:lang w:val="es-AR"/>
        </w:rPr>
      </w:pPr>
      <w:r>
        <w:rPr>
          <w:rFonts w:ascii="univers" w:hAnsi="univers" w:cs="Courier New"/>
          <w:sz w:val="22"/>
          <w:szCs w:val="22"/>
          <w:lang w:val="es-AR"/>
        </w:rPr>
        <w:t>LEY K Nº 810</w:t>
      </w:r>
    </w:p>
    <w:p w:rsidR="00000000" w:rsidRDefault="00AC1739">
      <w:pPr>
        <w:pBdr>
          <w:bar w:val="single" w:sz="4" w:color="auto"/>
        </w:pBdr>
        <w:ind w:left="-57"/>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1º</w:t>
      </w:r>
      <w:r>
        <w:rPr>
          <w:rFonts w:ascii="univers" w:hAnsi="univers" w:cs="Courier New"/>
          <w:sz w:val="22"/>
          <w:szCs w:val="22"/>
        </w:rPr>
        <w:t xml:space="preserve">º </w:t>
      </w:r>
      <w:r>
        <w:rPr>
          <w:rFonts w:ascii="univers" w:hAnsi="univers" w:cs="Courier New"/>
          <w:b/>
          <w:bCs/>
          <w:sz w:val="22"/>
          <w:szCs w:val="22"/>
        </w:rPr>
        <w:t>-</w:t>
      </w:r>
      <w:r>
        <w:rPr>
          <w:rFonts w:ascii="univers" w:hAnsi="univers" w:cs="Courier New"/>
          <w:sz w:val="22"/>
          <w:szCs w:val="22"/>
        </w:rPr>
        <w:t xml:space="preserve"> El Registro Inmobiliario se organizará y funcionará en la ciudad Capital de la Provincia en base a las siguientes normas complementarias y reglamentarias de las disposiciones de la Ley Nacional número 17.801 #.</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2º inc</w:t>
      </w:r>
      <w:r>
        <w:rPr>
          <w:rFonts w:ascii="univers" w:hAnsi="univers" w:cs="Courier New"/>
          <w:b/>
          <w:sz w:val="22"/>
          <w:szCs w:val="22"/>
        </w:rPr>
        <w:t>isos a) y b)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sz w:val="22"/>
          <w:szCs w:val="22"/>
        </w:rPr>
      </w:pPr>
    </w:p>
    <w:p w:rsidR="00000000" w:rsidRDefault="00AC1739">
      <w:pPr>
        <w:autoSpaceDE w:val="0"/>
        <w:autoSpaceDN w:val="0"/>
        <w:adjustRightInd w:val="0"/>
        <w:jc w:val="both"/>
        <w:rPr>
          <w:rFonts w:ascii="univers" w:hAnsi="univers" w:cs="Courier New"/>
          <w:sz w:val="22"/>
          <w:szCs w:val="22"/>
        </w:rPr>
      </w:pPr>
      <w:r>
        <w:rPr>
          <w:rFonts w:ascii="univers" w:hAnsi="univers" w:cs="Courier New"/>
          <w:b/>
          <w:sz w:val="22"/>
          <w:szCs w:val="22"/>
        </w:rPr>
        <w:t xml:space="preserve">Artículo 2º inciso c) - </w:t>
      </w:r>
      <w:r>
        <w:rPr>
          <w:rFonts w:ascii="univers" w:hAnsi="univers" w:cs="Courier New"/>
          <w:sz w:val="22"/>
          <w:szCs w:val="22"/>
        </w:rPr>
        <w:t>Podrán inscribirse en el Registro de la Propiedad Inmueble de Río Negro todos aquellos instrumentos que formalicen la constitución, transferencia, modificación o extinción de derechos reales comprend</w:t>
      </w:r>
      <w:r>
        <w:rPr>
          <w:rFonts w:ascii="univers" w:hAnsi="univers" w:cs="Courier New"/>
          <w:sz w:val="22"/>
          <w:szCs w:val="22"/>
        </w:rPr>
        <w:t>idos en los regímenes de las Leyes Nacionales Nº 13.512 y 19.724, si las partes exclusivas y comunes de edificios en construcción o a construir reúnen las siguientes condiciones:</w:t>
      </w:r>
    </w:p>
    <w:p w:rsidR="00000000" w:rsidRDefault="00AC1739">
      <w:pPr>
        <w:autoSpaceDE w:val="0"/>
        <w:autoSpaceDN w:val="0"/>
        <w:adjustRightInd w:val="0"/>
        <w:jc w:val="both"/>
        <w:rPr>
          <w:rFonts w:ascii="univers" w:hAnsi="univers" w:cs="Courier New"/>
          <w:sz w:val="22"/>
          <w:szCs w:val="22"/>
        </w:rPr>
      </w:pPr>
    </w:p>
    <w:p w:rsidR="00000000" w:rsidRDefault="00AC1739">
      <w:pPr>
        <w:numPr>
          <w:ilvl w:val="0"/>
          <w:numId w:val="5"/>
        </w:numPr>
        <w:tabs>
          <w:tab w:val="clear" w:pos="907"/>
          <w:tab w:val="num" w:pos="1122"/>
        </w:tabs>
        <w:autoSpaceDE w:val="0"/>
        <w:autoSpaceDN w:val="0"/>
        <w:adjustRightInd w:val="0"/>
        <w:ind w:left="1122" w:hanging="374"/>
        <w:jc w:val="both"/>
        <w:rPr>
          <w:rFonts w:ascii="univers" w:hAnsi="univers" w:cs="Courier New"/>
          <w:sz w:val="22"/>
          <w:szCs w:val="22"/>
        </w:rPr>
      </w:pPr>
      <w:r>
        <w:rPr>
          <w:rFonts w:ascii="univers" w:hAnsi="univers" w:cs="Courier New"/>
          <w:sz w:val="22"/>
          <w:szCs w:val="22"/>
        </w:rPr>
        <w:t xml:space="preserve">Las unidades de dominio exclusivo a construir o en construcción, cualquiera </w:t>
      </w:r>
      <w:r>
        <w:rPr>
          <w:rFonts w:ascii="univers" w:hAnsi="univers" w:cs="Courier New"/>
          <w:sz w:val="22"/>
          <w:szCs w:val="22"/>
        </w:rPr>
        <w:t>sea el estado de ejecución de la obra, siempre que las mismas constituyan cuerpos independientes de edificación.</w:t>
      </w:r>
    </w:p>
    <w:p w:rsidR="00000000" w:rsidRDefault="00AC1739">
      <w:pPr>
        <w:numPr>
          <w:ilvl w:val="0"/>
          <w:numId w:val="5"/>
        </w:numPr>
        <w:tabs>
          <w:tab w:val="clear" w:pos="907"/>
          <w:tab w:val="num" w:pos="1122"/>
        </w:tabs>
        <w:autoSpaceDE w:val="0"/>
        <w:autoSpaceDN w:val="0"/>
        <w:adjustRightInd w:val="0"/>
        <w:ind w:left="1122" w:hanging="374"/>
        <w:jc w:val="both"/>
        <w:rPr>
          <w:rFonts w:ascii="univers" w:hAnsi="univers" w:cs="Courier New"/>
          <w:sz w:val="22"/>
          <w:szCs w:val="22"/>
        </w:rPr>
      </w:pPr>
      <w:r>
        <w:rPr>
          <w:rFonts w:ascii="univers" w:hAnsi="univers" w:cs="Courier New"/>
          <w:sz w:val="22"/>
          <w:szCs w:val="22"/>
        </w:rPr>
        <w:t>Las unidades de dominio exclusivo sin independencia constructiva, cuando el edificio en construcción tenga concluidos los servicios y partes co</w:t>
      </w:r>
      <w:r>
        <w:rPr>
          <w:rFonts w:ascii="univers" w:hAnsi="univers" w:cs="Courier New"/>
          <w:sz w:val="22"/>
          <w:szCs w:val="22"/>
        </w:rPr>
        <w:t>munes necesarios e indispensables para el buen funcionamiento del mismo, pudiendo carecer de los revoques finos, pinturas, soldaduras, cielorrasos, revestimientos y otros detalles complementarios y estéticos que no perturben la seguridad, solidez y funcion</w:t>
      </w:r>
      <w:r>
        <w:rPr>
          <w:rFonts w:ascii="univers" w:hAnsi="univers" w:cs="Courier New"/>
          <w:sz w:val="22"/>
          <w:szCs w:val="22"/>
        </w:rPr>
        <w:t>amiento del edificio. Cuando no se reúnan estas condiciones no podrán gozar de los beneficios del presente artículo.</w:t>
      </w:r>
    </w:p>
    <w:p w:rsidR="00000000" w:rsidRDefault="00AC1739">
      <w:pPr>
        <w:autoSpaceDE w:val="0"/>
        <w:autoSpaceDN w:val="0"/>
        <w:adjustRightInd w:val="0"/>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3º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4º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5º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6º -</w:t>
      </w:r>
      <w:r>
        <w:rPr>
          <w:rFonts w:ascii="univers" w:hAnsi="univers" w:cs="Courier New"/>
          <w:sz w:val="22"/>
          <w:szCs w:val="22"/>
        </w:rPr>
        <w:t xml:space="preserve"> Inciso a) Son reemplazantes </w:t>
      </w:r>
      <w:r>
        <w:rPr>
          <w:rFonts w:ascii="univers" w:hAnsi="univers" w:cs="Courier New"/>
          <w:sz w:val="22"/>
          <w:szCs w:val="22"/>
        </w:rPr>
        <w:t>legales de los funcionarios autorizantes quienes están facultados para autorizar documentos en el mismo Registro de Contratos Públicos o Secretarías de Juzgado.</w:t>
      </w:r>
    </w:p>
    <w:p w:rsidR="00000000" w:rsidRDefault="00AC1739">
      <w:pPr>
        <w:pBdr>
          <w:bar w:val="single" w:sz="4" w:color="auto"/>
        </w:pBdr>
        <w:ind w:firstLine="708"/>
        <w:jc w:val="both"/>
        <w:rPr>
          <w:rFonts w:ascii="univers" w:hAnsi="univers" w:cs="Courier New"/>
          <w:sz w:val="22"/>
          <w:szCs w:val="22"/>
        </w:rPr>
      </w:pPr>
      <w:r>
        <w:rPr>
          <w:rFonts w:ascii="univers" w:hAnsi="univers" w:cs="Courier New"/>
          <w:sz w:val="22"/>
          <w:szCs w:val="22"/>
        </w:rPr>
        <w:t>Cuando los jueces expresamente lo dispongan los oficios judiciales serán presentados y gestiona</w:t>
      </w:r>
      <w:r>
        <w:rPr>
          <w:rFonts w:ascii="univers" w:hAnsi="univers" w:cs="Courier New"/>
          <w:sz w:val="22"/>
          <w:szCs w:val="22"/>
        </w:rPr>
        <w:t>dos por letrados o procuradores, firmando éstos la solicitud respectiva.</w:t>
      </w:r>
    </w:p>
    <w:p w:rsidR="00000000" w:rsidRDefault="00AC1739">
      <w:pPr>
        <w:pBdr>
          <w:bar w:val="single" w:sz="4" w:color="auto"/>
        </w:pBdr>
        <w:ind w:firstLine="708"/>
        <w:jc w:val="both"/>
        <w:rPr>
          <w:rFonts w:ascii="univers" w:hAnsi="univers" w:cs="Courier New"/>
          <w:sz w:val="22"/>
          <w:szCs w:val="22"/>
        </w:rPr>
      </w:pPr>
      <w:r>
        <w:rPr>
          <w:rFonts w:ascii="univers" w:hAnsi="univers" w:cs="Courier New"/>
          <w:sz w:val="22"/>
          <w:szCs w:val="22"/>
        </w:rPr>
        <w:t>Inciso b) En las solicitudes presentadas por particulares, éstos deberán justificar que actúan por derecho propio y tener interés personal en la petición. Fijarán domicilio en la Prov</w:t>
      </w:r>
      <w:r>
        <w:rPr>
          <w:rFonts w:ascii="univers" w:hAnsi="univers" w:cs="Courier New"/>
          <w:sz w:val="22"/>
          <w:szCs w:val="22"/>
        </w:rPr>
        <w:t>incia y certificarán la firma ante escribano, Juez de Paz o Director del Registro.</w:t>
      </w:r>
    </w:p>
    <w:p w:rsidR="00000000" w:rsidRDefault="00AC1739">
      <w:pPr>
        <w:pBdr>
          <w:bar w:val="single" w:sz="4" w:color="auto"/>
        </w:pBdr>
        <w:ind w:firstLine="708"/>
        <w:jc w:val="both"/>
        <w:rPr>
          <w:rFonts w:ascii="univers" w:hAnsi="univers" w:cs="Courier New"/>
          <w:sz w:val="22"/>
          <w:szCs w:val="22"/>
        </w:rPr>
      </w:pPr>
      <w:r>
        <w:rPr>
          <w:rFonts w:ascii="univers" w:hAnsi="univers" w:cs="Courier New"/>
          <w:sz w:val="22"/>
          <w:szCs w:val="22"/>
        </w:rPr>
        <w:t>Es responsabilidad de los profesionales intervinientes la inscripción y anotación prevista en esta Ley y en los artículos 2505 # y 3135 # del Código Civil.</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Artículos 7º y 3</w:t>
      </w:r>
      <w:r>
        <w:rPr>
          <w:rFonts w:ascii="univers" w:hAnsi="univers" w:cs="Courier New"/>
          <w:b/>
          <w:sz w:val="22"/>
          <w:szCs w:val="22"/>
        </w:rPr>
        <w:t>3</w:t>
      </w:r>
      <w:r>
        <w:rPr>
          <w:rFonts w:ascii="univers" w:hAnsi="univers" w:cs="Courier New"/>
          <w:sz w:val="22"/>
          <w:szCs w:val="22"/>
        </w:rPr>
        <w:t xml:space="preserve"> </w:t>
      </w:r>
      <w:r>
        <w:rPr>
          <w:rFonts w:ascii="univers" w:hAnsi="univers" w:cs="Courier New"/>
          <w:b/>
          <w:bCs/>
          <w:sz w:val="22"/>
          <w:szCs w:val="22"/>
        </w:rPr>
        <w:t>-</w:t>
      </w:r>
      <w:r>
        <w:rPr>
          <w:rFonts w:ascii="univers" w:hAnsi="univers" w:cs="Courier New"/>
          <w:sz w:val="22"/>
          <w:szCs w:val="22"/>
        </w:rPr>
        <w:t xml:space="preserve"> La petición de inscripción o anotación será efectuada en el formulario y copias que se establezca por disposición del Director del Registro. En los oficios de embargos se determinarán expresamente el o los inmuebles gravados indicando su inscripción y </w:t>
      </w:r>
      <w:r>
        <w:rPr>
          <w:rFonts w:ascii="univers" w:hAnsi="univers" w:cs="Courier New"/>
          <w:sz w:val="22"/>
          <w:szCs w:val="22"/>
        </w:rPr>
        <w:t>el nombre del titular del dominio. Constará además la causal del embargo y su monto.</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8º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9º -</w:t>
      </w:r>
      <w:r>
        <w:rPr>
          <w:rFonts w:ascii="univers" w:hAnsi="univers" w:cs="Courier New"/>
          <w:sz w:val="22"/>
          <w:szCs w:val="22"/>
        </w:rPr>
        <w:t xml:space="preserve"> Inciso a) El Registro ejercerá la facultad de rechazar los documentos cuando la nulidad sea absoluta y manifiesta conforme a</w:t>
      </w:r>
      <w:r>
        <w:rPr>
          <w:rFonts w:ascii="univers" w:hAnsi="univers" w:cs="Courier New"/>
          <w:sz w:val="22"/>
          <w:szCs w:val="22"/>
        </w:rPr>
        <w:t xml:space="preserve"> las disposiciones de la ley de </w:t>
      </w:r>
      <w:r>
        <w:rPr>
          <w:rFonts w:ascii="univers" w:hAnsi="univers" w:cs="Courier New"/>
          <w:sz w:val="22"/>
          <w:szCs w:val="22"/>
        </w:rPr>
        <w:lastRenderedPageBreak/>
        <w:t>fondo. El Registro formulará por escrito las observaciones a los títulos o documentos, en un volante que será agregado a los mismos.</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ind w:left="561"/>
        <w:jc w:val="both"/>
        <w:rPr>
          <w:rFonts w:ascii="univers" w:hAnsi="univers" w:cs="Courier New"/>
          <w:sz w:val="22"/>
          <w:szCs w:val="22"/>
        </w:rPr>
      </w:pPr>
      <w:r>
        <w:rPr>
          <w:rFonts w:ascii="univers" w:hAnsi="univers" w:cs="Courier New"/>
          <w:sz w:val="22"/>
          <w:szCs w:val="22"/>
        </w:rPr>
        <w:t>Inciso b)</w:t>
      </w:r>
    </w:p>
    <w:p w:rsidR="00000000" w:rsidRDefault="00AC1739">
      <w:pPr>
        <w:pBdr>
          <w:bar w:val="single" w:sz="4" w:color="auto"/>
        </w:pBdr>
        <w:ind w:left="561"/>
        <w:jc w:val="both"/>
        <w:rPr>
          <w:rFonts w:ascii="univers" w:hAnsi="univers" w:cs="Courier New"/>
          <w:sz w:val="22"/>
          <w:szCs w:val="22"/>
        </w:rPr>
      </w:pPr>
    </w:p>
    <w:p w:rsidR="00000000" w:rsidRDefault="00AC1739">
      <w:pPr>
        <w:numPr>
          <w:ilvl w:val="0"/>
          <w:numId w:val="1"/>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La petición de prórroga del plazo de 180 días deberá ser fundada y formulada ha</w:t>
      </w:r>
      <w:r>
        <w:rPr>
          <w:rFonts w:ascii="univers" w:hAnsi="univers" w:cs="Courier New"/>
          <w:sz w:val="22"/>
          <w:szCs w:val="22"/>
        </w:rPr>
        <w:t>sta cinco (5) días antes de su vencimiento. El Director del Registro la concederá o denegará, considerando las necesidades de cada caso;</w:t>
      </w:r>
    </w:p>
    <w:p w:rsidR="00000000" w:rsidRDefault="00AC1739">
      <w:pPr>
        <w:numPr>
          <w:ilvl w:val="0"/>
          <w:numId w:val="1"/>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La solicitud de rectificación de la decisión del Registro deberá presentarse dentro de los 60 días de notificada la obs</w:t>
      </w:r>
      <w:r>
        <w:rPr>
          <w:rFonts w:ascii="univers" w:hAnsi="univers" w:cs="Courier New"/>
          <w:sz w:val="22"/>
          <w:szCs w:val="22"/>
        </w:rPr>
        <w:t>ervación. Será fundada y en ella se ofrecerán todas las pruebas;</w:t>
      </w:r>
    </w:p>
    <w:p w:rsidR="00000000" w:rsidRDefault="00AC1739">
      <w:pPr>
        <w:numPr>
          <w:ilvl w:val="0"/>
          <w:numId w:val="1"/>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Con ello el Registro iniciará expediente en el que deberá expedirse dentro de los treinta (30) días de presentada la solicitud de rectificación. La ratificación de la observación por parte de</w:t>
      </w:r>
      <w:r>
        <w:rPr>
          <w:rFonts w:ascii="univers" w:hAnsi="univers" w:cs="Courier New"/>
          <w:sz w:val="22"/>
          <w:szCs w:val="22"/>
        </w:rPr>
        <w:t>l Registro, tanto como la falta de despacho del pedido de rectificación dentro del plazo indicado, deja expedita la vía para recurrir por ante la Cámara de Apelaciones en lo Civil, de Viedma;</w:t>
      </w:r>
    </w:p>
    <w:p w:rsidR="00000000" w:rsidRDefault="00AC1739">
      <w:pPr>
        <w:numPr>
          <w:ilvl w:val="0"/>
          <w:numId w:val="1"/>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La disposición del Registro ratificando o rectificando su decisi</w:t>
      </w:r>
      <w:r>
        <w:rPr>
          <w:rFonts w:ascii="univers" w:hAnsi="univers" w:cs="Courier New"/>
          <w:sz w:val="22"/>
          <w:szCs w:val="22"/>
        </w:rPr>
        <w:t>ón será fundada y contendrá los elementos de juicio que la origina, así como las referencias legales en que se apoya;</w:t>
      </w:r>
    </w:p>
    <w:p w:rsidR="00000000" w:rsidRDefault="00AC1739">
      <w:pPr>
        <w:numPr>
          <w:ilvl w:val="0"/>
          <w:numId w:val="1"/>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La anotación provisional se prorrogará hasta el cumplimiento de la disposición que ordene la inscripción, o por 60 días después de dicha r</w:t>
      </w:r>
      <w:r>
        <w:rPr>
          <w:rFonts w:ascii="univers" w:hAnsi="univers" w:cs="Courier New"/>
          <w:sz w:val="22"/>
          <w:szCs w:val="22"/>
        </w:rPr>
        <w:t>esolución si ésta fuere denegatoria. Dentro de ese plazo improrrogable el solicitante podrá subsanar la observación formulada;</w:t>
      </w:r>
    </w:p>
    <w:p w:rsidR="00000000" w:rsidRDefault="00AC1739">
      <w:pPr>
        <w:numPr>
          <w:ilvl w:val="0"/>
          <w:numId w:val="1"/>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Las inscripciones y anotaciones provisionales y sus ampliaciones se asentarán en el respectivo folio;</w:t>
      </w:r>
    </w:p>
    <w:p w:rsidR="00000000" w:rsidRDefault="00AC1739">
      <w:pPr>
        <w:numPr>
          <w:ilvl w:val="0"/>
          <w:numId w:val="1"/>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Las notificaciones se harán</w:t>
      </w:r>
      <w:r>
        <w:rPr>
          <w:rFonts w:ascii="univers" w:hAnsi="univers" w:cs="Courier New"/>
          <w:sz w:val="22"/>
          <w:szCs w:val="22"/>
        </w:rPr>
        <w:t xml:space="preserve"> personalmente o por cédula.</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Artículos 10 y 44</w:t>
      </w:r>
      <w:r>
        <w:rPr>
          <w:rFonts w:ascii="univers" w:hAnsi="univers" w:cs="Courier New"/>
          <w:sz w:val="22"/>
          <w:szCs w:val="22"/>
        </w:rPr>
        <w:t xml:space="preserve"> </w:t>
      </w:r>
      <w:r>
        <w:rPr>
          <w:rFonts w:ascii="univers" w:hAnsi="univers" w:cs="Courier New"/>
          <w:b/>
          <w:bCs/>
          <w:sz w:val="22"/>
          <w:szCs w:val="22"/>
        </w:rPr>
        <w:t>-</w:t>
      </w:r>
      <w:r>
        <w:rPr>
          <w:rFonts w:ascii="univers" w:hAnsi="univers" w:cs="Courier New"/>
          <w:sz w:val="22"/>
          <w:szCs w:val="22"/>
        </w:rPr>
        <w:t xml:space="preserve"> La Dirección dispondrá la ocasión en que se incorporen al régimen establecido en la Ley Nº 17.801 #, las demarcaciones territoriales de la Provincia. La matriculación de los inmuebles se practicará a medida</w:t>
      </w:r>
      <w:r>
        <w:rPr>
          <w:rFonts w:ascii="univers" w:hAnsi="univers" w:cs="Courier New"/>
          <w:sz w:val="22"/>
          <w:szCs w:val="22"/>
        </w:rPr>
        <w:t xml:space="preserve"> que sean presentados los títulos que constituyan, transmitan o declaren derechos reales relativos a los mismos. La Dirección establecerá el momento en que se incorporen de oficio los inmuebles aún no volcados al Folio Real. Los espacios para sepulcros y b</w:t>
      </w:r>
      <w:r>
        <w:rPr>
          <w:rFonts w:ascii="univers" w:hAnsi="univers" w:cs="Courier New"/>
          <w:sz w:val="22"/>
          <w:szCs w:val="22"/>
        </w:rPr>
        <w:t>óvedas, aún perpetuos/as, no se matricularán en el Registro Inmobiliario.</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11 -</w:t>
      </w:r>
      <w:r>
        <w:rPr>
          <w:rFonts w:ascii="univers" w:hAnsi="univers" w:cs="Courier New"/>
          <w:sz w:val="22"/>
          <w:szCs w:val="22"/>
        </w:rPr>
        <w:t xml:space="preserve"> El número de matrícula se compondrá de los siguientes elementos:</w:t>
      </w:r>
    </w:p>
    <w:p w:rsidR="00000000" w:rsidRDefault="00AC1739">
      <w:pPr>
        <w:pBdr>
          <w:bar w:val="single" w:sz="4" w:color="auto"/>
        </w:pBdr>
        <w:jc w:val="both"/>
        <w:rPr>
          <w:rFonts w:ascii="univers" w:hAnsi="univers" w:cs="Courier New"/>
          <w:sz w:val="22"/>
          <w:szCs w:val="22"/>
        </w:rPr>
      </w:pPr>
    </w:p>
    <w:p w:rsidR="00000000" w:rsidRDefault="00AC1739">
      <w:pPr>
        <w:numPr>
          <w:ilvl w:val="0"/>
          <w:numId w:val="2"/>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El que se adjudique a la demarcación territorial en que se encuentra el inmueble;</w:t>
      </w:r>
    </w:p>
    <w:p w:rsidR="00000000" w:rsidRDefault="00AC1739">
      <w:pPr>
        <w:numPr>
          <w:ilvl w:val="0"/>
          <w:numId w:val="2"/>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El que se adjudique</w:t>
      </w:r>
      <w:r>
        <w:rPr>
          <w:rFonts w:ascii="univers" w:hAnsi="univers" w:cs="Courier New"/>
          <w:sz w:val="22"/>
          <w:szCs w:val="22"/>
        </w:rPr>
        <w:t xml:space="preserve"> al inmueble dentro de cada demarcación, por orden de matriculación;</w:t>
      </w:r>
    </w:p>
    <w:p w:rsidR="00000000" w:rsidRDefault="00AC1739">
      <w:pPr>
        <w:numPr>
          <w:ilvl w:val="0"/>
          <w:numId w:val="2"/>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 xml:space="preserve">En los edificios de propiedad horizontal se aplicará un tercer número o letra que indicará la unidad. Al reglamento de copropiedad y administración se lo designará con el número cero. La </w:t>
      </w:r>
      <w:r>
        <w:rPr>
          <w:rFonts w:ascii="univers" w:hAnsi="univers" w:cs="Courier New"/>
          <w:sz w:val="22"/>
          <w:szCs w:val="22"/>
        </w:rPr>
        <w:t>matriculación se efectuará por separado dentro de cada departamento o demarcación territorial en que está dividida la provincia. El inmueble que alcance dos o más departamentos, se matriculará en aquel en que tenga mayor superficie.</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Artículos 12, 31 y 33</w:t>
      </w:r>
      <w:r>
        <w:rPr>
          <w:rFonts w:ascii="univers" w:hAnsi="univers" w:cs="Courier New"/>
          <w:sz w:val="22"/>
          <w:szCs w:val="22"/>
        </w:rPr>
        <w:t xml:space="preserve"> </w:t>
      </w:r>
      <w:r>
        <w:rPr>
          <w:rFonts w:ascii="univers" w:hAnsi="univers" w:cs="Courier New"/>
          <w:b/>
          <w:bCs/>
          <w:sz w:val="22"/>
          <w:szCs w:val="22"/>
        </w:rPr>
        <w:t>-</w:t>
      </w:r>
      <w:r>
        <w:rPr>
          <w:rFonts w:ascii="univers" w:hAnsi="univers" w:cs="Courier New"/>
          <w:sz w:val="22"/>
          <w:szCs w:val="22"/>
        </w:rPr>
        <w:t xml:space="preserve"> La Dirección del Registro reglamentará la forma y texto y código de abreviaturas para las matriculaciones y los asientos registrales.</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lastRenderedPageBreak/>
        <w:t>Artículo 13 -</w:t>
      </w:r>
      <w:r>
        <w:rPr>
          <w:rFonts w:ascii="univers" w:hAnsi="univers" w:cs="Courier New"/>
          <w:sz w:val="22"/>
          <w:szCs w:val="22"/>
        </w:rPr>
        <w:t xml:space="preserve"> Los documentos que impliquen divisiones, anexiones, modificaciones o desmembramiento de inmuebles sólo po</w:t>
      </w:r>
      <w:r>
        <w:rPr>
          <w:rFonts w:ascii="univers" w:hAnsi="univers" w:cs="Courier New"/>
          <w:sz w:val="22"/>
          <w:szCs w:val="22"/>
        </w:rPr>
        <w:t>drán inscribirse previa presentación de plano aprobado por Catastro parcelario o la oficina que correspondiere.</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14 -</w:t>
      </w:r>
      <w:r>
        <w:rPr>
          <w:rFonts w:ascii="univers" w:hAnsi="univers" w:cs="Courier New"/>
          <w:sz w:val="22"/>
          <w:szCs w:val="22"/>
        </w:rPr>
        <w:t xml:space="preserve"> Se anotarán asimismo los boletos de compraventa o promesas de venta que corresponda registrar por disposición legal o judicial, l</w:t>
      </w:r>
      <w:r>
        <w:rPr>
          <w:rFonts w:ascii="univers" w:hAnsi="univers" w:cs="Courier New"/>
          <w:sz w:val="22"/>
          <w:szCs w:val="22"/>
        </w:rPr>
        <w:t>os que se asentarán en el Folio Real y para su toma de razón se exigirán los datos de especialidad del inmueble y los que requiera la Dirección.</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15 -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16 -</w:t>
      </w:r>
      <w:r>
        <w:rPr>
          <w:rFonts w:ascii="univers" w:hAnsi="univers" w:cs="Courier New"/>
          <w:sz w:val="22"/>
          <w:szCs w:val="22"/>
        </w:rPr>
        <w:t xml:space="preserve"> La falta de inscripción del dominio a nombre del titular que dis</w:t>
      </w:r>
      <w:r>
        <w:rPr>
          <w:rFonts w:ascii="univers" w:hAnsi="univers" w:cs="Courier New"/>
          <w:sz w:val="22"/>
          <w:szCs w:val="22"/>
        </w:rPr>
        <w:t>pone, ocasionará la observación del titulo y su anotación provisional.</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Artículos 17 a 20 -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Artículos 21, 27 y 39 -</w:t>
      </w:r>
      <w:r>
        <w:rPr>
          <w:rFonts w:ascii="univers" w:hAnsi="univers" w:cs="Courier New"/>
          <w:sz w:val="22"/>
          <w:szCs w:val="22"/>
        </w:rPr>
        <w:t xml:space="preserve"> Se considera que tiene interés legítimo para averiguar el estado registral, el titular registral o su representante, los e</w:t>
      </w:r>
      <w:r>
        <w:rPr>
          <w:rFonts w:ascii="univers" w:hAnsi="univers" w:cs="Courier New"/>
          <w:sz w:val="22"/>
          <w:szCs w:val="22"/>
        </w:rPr>
        <w:t>scribanos, abogados, agrimensores y los poderes públicos. La Dirección determinará la forma en que podrán consultar la documentación.</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22 -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Artículos 23, 24 y 27 -</w:t>
      </w:r>
      <w:r>
        <w:rPr>
          <w:rFonts w:ascii="univers" w:hAnsi="univers" w:cs="Courier New"/>
          <w:sz w:val="22"/>
          <w:szCs w:val="22"/>
        </w:rPr>
        <w:t xml:space="preserve"> Solo los escribanos y funcionarios que fueren a autorizar los doc</w:t>
      </w:r>
      <w:r>
        <w:rPr>
          <w:rFonts w:ascii="univers" w:hAnsi="univers" w:cs="Courier New"/>
          <w:sz w:val="22"/>
          <w:szCs w:val="22"/>
        </w:rPr>
        <w:t>umentos o sus reemplazantes legales, podrán pedir las certificaciones correspondientes.</w:t>
      </w:r>
    </w:p>
    <w:p w:rsidR="00000000" w:rsidRDefault="00AC1739">
      <w:pPr>
        <w:pStyle w:val="Sangradetextonormal"/>
      </w:pPr>
      <w:r>
        <w:t>Tanto las certificaciones como los informes se solicitarán y expedirán conforme lo reglamente la Dirección del Registro. El pedido de certificación o informe por inhibi</w:t>
      </w:r>
      <w:r>
        <w:t>ciones consignará la totalidad de los datos exigidos para anotarlos. Cada solicitud de certificación provoca una nueva certificación desligada de la anterior, aunque para ello se utilice el mismo formulario. Los certificados se expedirán con fecha de su pr</w:t>
      </w:r>
      <w:r>
        <w:t>esentación.</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Artículos 25 y 26 -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27 -</w:t>
      </w:r>
      <w:r>
        <w:rPr>
          <w:rFonts w:ascii="univers" w:hAnsi="univers" w:cs="Courier New"/>
          <w:sz w:val="22"/>
          <w:szCs w:val="22"/>
        </w:rPr>
        <w:t xml:space="preserve"> Reglamentado con los artículos 23 y 24.</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28 -</w:t>
      </w:r>
      <w:r>
        <w:rPr>
          <w:rFonts w:ascii="univers" w:hAnsi="univers" w:cs="Courier New"/>
          <w:sz w:val="22"/>
          <w:szCs w:val="22"/>
        </w:rPr>
        <w:t xml:space="preserve"> Inciso a) Las notas por las cuales el Registro deja constancia de inscripciones y anotaciones se asentarán en las partes libres o en los</w:t>
      </w:r>
      <w:r>
        <w:rPr>
          <w:rFonts w:ascii="univers" w:hAnsi="univers" w:cs="Courier New"/>
          <w:sz w:val="22"/>
          <w:szCs w:val="22"/>
        </w:rPr>
        <w:t xml:space="preserve"> márgenes de la última hoja libre de los documentos. Si diversos actos estuvieren instrumentados en un mismo documento y se presentaren para su registración en forma simultánea, la nota consignará las registraciones que se efectúen siguiendo el orden de lo</w:t>
      </w:r>
      <w:r>
        <w:rPr>
          <w:rFonts w:ascii="univers" w:hAnsi="univers" w:cs="Courier New"/>
          <w:sz w:val="22"/>
          <w:szCs w:val="22"/>
        </w:rPr>
        <w:t>s actos.</w:t>
      </w:r>
    </w:p>
    <w:p w:rsidR="00000000" w:rsidRDefault="00AC1739">
      <w:pPr>
        <w:pStyle w:val="Sangradetextonormal"/>
        <w:tabs>
          <w:tab w:val="left" w:pos="0"/>
        </w:tabs>
      </w:pPr>
      <w:r>
        <w:t>Inciso b) Las notas por las cuales el Registro deje constancia de inscripciones o anotaciones ampliatorias, complementarias o modificatorias, deberán consignarse por separado, expresando la fecha en que se practiquen y el agente que las realice.</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29 -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30 -</w:t>
      </w:r>
      <w:r>
        <w:rPr>
          <w:rFonts w:ascii="univers" w:hAnsi="univers" w:cs="Courier New"/>
          <w:sz w:val="22"/>
          <w:szCs w:val="22"/>
        </w:rPr>
        <w:t xml:space="preserve"> Además de los documentos indicados en la Ley Nacional Nº 17.801 # y otras nacionales o provinciales, se anotarán: las sentencias que declaren la presunción de fallecimiento y que limiten la capacidad o facultad</w:t>
      </w:r>
      <w:r>
        <w:rPr>
          <w:rFonts w:ascii="univers" w:hAnsi="univers" w:cs="Courier New"/>
          <w:sz w:val="22"/>
          <w:szCs w:val="22"/>
        </w:rPr>
        <w:t xml:space="preserve"> de disponer libremente de bienes inmuebles.</w:t>
      </w:r>
    </w:p>
    <w:p w:rsidR="00000000" w:rsidRDefault="00AC1739">
      <w:pPr>
        <w:pStyle w:val="Sangradetextonormal"/>
      </w:pPr>
      <w:r>
        <w:t>Las anotaciones que deban practicarse en el Registro de Anotaciones Personales se harán en base al apellido y nombre, consignándose además los datos personales.</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31</w:t>
      </w:r>
      <w:r>
        <w:rPr>
          <w:rFonts w:ascii="univers" w:hAnsi="univers" w:cs="Courier New"/>
          <w:sz w:val="22"/>
          <w:szCs w:val="22"/>
        </w:rPr>
        <w:t xml:space="preserve"> - Reglamentado con los artículos 12 y</w:t>
      </w:r>
      <w:r>
        <w:rPr>
          <w:rFonts w:ascii="univers" w:hAnsi="univers" w:cs="Courier New"/>
          <w:sz w:val="22"/>
          <w:szCs w:val="22"/>
        </w:rPr>
        <w:t xml:space="preserve"> 33.</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32 -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33 -</w:t>
      </w:r>
      <w:r>
        <w:rPr>
          <w:rFonts w:ascii="univers" w:hAnsi="univers" w:cs="Courier New"/>
          <w:sz w:val="22"/>
          <w:szCs w:val="22"/>
        </w:rPr>
        <w:t xml:space="preserve"> Reglamentado con los artículos 7º, 12 y 31.</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34 -</w:t>
      </w:r>
      <w:r>
        <w:rPr>
          <w:rFonts w:ascii="univers" w:hAnsi="univers" w:cs="Courier New"/>
          <w:sz w:val="22"/>
          <w:szCs w:val="22"/>
        </w:rPr>
        <w:t xml:space="preserve"> Sin reglamentar.</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35 -</w:t>
      </w:r>
      <w:r>
        <w:rPr>
          <w:rFonts w:ascii="univers" w:hAnsi="univers" w:cs="Courier New"/>
          <w:sz w:val="22"/>
          <w:szCs w:val="22"/>
        </w:rPr>
        <w:t xml:space="preserve"> Cuando hubiere error en el testimonio inscripto, podrá rectificarse la inscripción, presentando una solicitud en </w:t>
      </w:r>
      <w:r>
        <w:rPr>
          <w:rFonts w:ascii="univers" w:hAnsi="univers" w:cs="Courier New"/>
          <w:sz w:val="22"/>
          <w:szCs w:val="22"/>
        </w:rPr>
        <w:t>tal sentido, acompañada del documento rectificado y certificación notarial o judicial justificando que el error es del testimonio y no de la escritura o sentencia matriz.</w:t>
      </w:r>
    </w:p>
    <w:p w:rsidR="00000000" w:rsidRDefault="00AC1739">
      <w:pPr>
        <w:pStyle w:val="Sangradetextonormal"/>
      </w:pPr>
      <w:r>
        <w:t xml:space="preserve">Las rectificaciones tendrán en el Registro igual tratamiento que las inscripciones o </w:t>
      </w:r>
      <w:r>
        <w:t>anotaciones.</w:t>
      </w:r>
    </w:p>
    <w:p w:rsidR="00000000" w:rsidRDefault="00AC1739">
      <w:pPr>
        <w:pStyle w:val="Sangradetextonormal"/>
      </w:pPr>
      <w:r>
        <w:t>El Director ordenará de oficio la rectificación de errores evidentes del Registro y la reconstrucción de folios total o parcialmente destruidos o faltantes. Dejará constancia de los documentos utilizados para ello.</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36 -</w:t>
      </w:r>
      <w:r>
        <w:rPr>
          <w:rFonts w:ascii="univers" w:hAnsi="univers" w:cs="Courier New"/>
          <w:sz w:val="22"/>
          <w:szCs w:val="22"/>
        </w:rPr>
        <w:t xml:space="preserve"> Sin reglament</w:t>
      </w:r>
      <w:r>
        <w:rPr>
          <w:rFonts w:ascii="univers" w:hAnsi="univers" w:cs="Courier New"/>
          <w:sz w:val="22"/>
          <w:szCs w:val="22"/>
        </w:rPr>
        <w:t>ar.</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37 -</w:t>
      </w:r>
      <w:r>
        <w:rPr>
          <w:rFonts w:ascii="univers" w:hAnsi="univers" w:cs="Courier New"/>
          <w:sz w:val="22"/>
          <w:szCs w:val="22"/>
        </w:rPr>
        <w:t xml:space="preserve"> Los documentos que dieron origen a anotaciones preventivas podrán ser reinscriptos antes o después por las mismas personas que pudieron hacerlo originariamente. La reinscripción conferirá efectos sólo desde su anotación o inscripción si </w:t>
      </w:r>
      <w:r>
        <w:rPr>
          <w:rFonts w:ascii="univers" w:hAnsi="univers" w:cs="Courier New"/>
          <w:sz w:val="22"/>
          <w:szCs w:val="22"/>
        </w:rPr>
        <w:t>no se hizo antes de la caducidad de la originaria. Las inscripciones de hipotecas efectuadas antes de 1 de julio de 1958 caducaron a los diez años, salvo que las leyes especiales les hubieran asignado mayor duración. Las inscriptas después del 1 de julio d</w:t>
      </w:r>
      <w:r>
        <w:rPr>
          <w:rFonts w:ascii="univers" w:hAnsi="univers" w:cs="Courier New"/>
          <w:sz w:val="22"/>
          <w:szCs w:val="22"/>
        </w:rPr>
        <w:t>e 1958 caducan a los veinte años. El 01 de julio de 1973 caducarán todas las anotaciones del artículo 2º, inciso b, de la Ley Nacional Nº 17.801 # efectuadas con anterioridad a la vigencia de dicha ley, aunque la ley vigente al anotarlas les hubiere dado m</w:t>
      </w:r>
      <w:r>
        <w:rPr>
          <w:rFonts w:ascii="univers" w:hAnsi="univers" w:cs="Courier New"/>
          <w:sz w:val="22"/>
          <w:szCs w:val="22"/>
        </w:rPr>
        <w:t>ayor duración.</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38 –</w:t>
      </w:r>
      <w:r>
        <w:rPr>
          <w:rFonts w:ascii="univers" w:hAnsi="univers" w:cs="Courier New"/>
          <w:sz w:val="22"/>
          <w:szCs w:val="22"/>
        </w:rPr>
        <w:t xml:space="preserve"> Inciso a) Por decreto del Poder Ejecutivo y a propuesta del Director del Registro se establecerá la futura organización del Registro, la que será adaptada a las nuevas técnicas impuestas por la Ley Nacional Nº 17.801 # y a la </w:t>
      </w:r>
      <w:r>
        <w:rPr>
          <w:rFonts w:ascii="univers" w:hAnsi="univers" w:cs="Courier New"/>
          <w:sz w:val="22"/>
          <w:szCs w:val="22"/>
        </w:rPr>
        <w:t>presente. El mismo decreto establecerá los deberes, responsabilidades y atribuciones del personal.</w:t>
      </w:r>
    </w:p>
    <w:p w:rsidR="00000000" w:rsidRDefault="00AC1739">
      <w:pPr>
        <w:pBdr>
          <w:bar w:val="single" w:sz="4" w:color="auto"/>
        </w:pBdr>
        <w:ind w:firstLine="708"/>
        <w:jc w:val="both"/>
        <w:rPr>
          <w:rFonts w:ascii="univers" w:hAnsi="univers" w:cs="Courier New"/>
          <w:sz w:val="22"/>
          <w:szCs w:val="22"/>
        </w:rPr>
      </w:pPr>
      <w:r>
        <w:rPr>
          <w:rFonts w:ascii="univers" w:hAnsi="univers" w:cs="Courier New"/>
          <w:sz w:val="22"/>
          <w:szCs w:val="22"/>
        </w:rPr>
        <w:t>Inciso b) La Dirección establecerá el trámite de la documentación, requisitos formales y detalles organizativos mediante disposiciones que serán compiladas e</w:t>
      </w:r>
      <w:r>
        <w:rPr>
          <w:rFonts w:ascii="univers" w:hAnsi="univers" w:cs="Courier New"/>
          <w:sz w:val="22"/>
          <w:szCs w:val="22"/>
        </w:rPr>
        <w:t>n forma orgánica conjuntamente con la Ley Nacional y la presente.</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39 -</w:t>
      </w:r>
      <w:r>
        <w:rPr>
          <w:rFonts w:ascii="univers" w:hAnsi="univers" w:cs="Courier New"/>
          <w:sz w:val="22"/>
          <w:szCs w:val="22"/>
        </w:rPr>
        <w:t xml:space="preserve"> La responsabilidad por la guarda y conservación de la documentación que ingrese al Registro y de la documentación registral, se extiende a quienes tienen la guarda y/o acceso </w:t>
      </w:r>
      <w:r>
        <w:rPr>
          <w:rFonts w:ascii="univers" w:hAnsi="univers" w:cs="Courier New"/>
          <w:sz w:val="22"/>
          <w:szCs w:val="22"/>
        </w:rPr>
        <w:t>a dicha documentación.</w:t>
      </w:r>
    </w:p>
    <w:p w:rsidR="00000000" w:rsidRDefault="00AC1739">
      <w:pPr>
        <w:pBdr>
          <w:bar w:val="single" w:sz="4" w:color="auto"/>
        </w:pBdr>
        <w:ind w:firstLine="708"/>
        <w:jc w:val="both"/>
        <w:rPr>
          <w:rFonts w:ascii="univers" w:hAnsi="univers" w:cs="Courier New"/>
          <w:sz w:val="22"/>
          <w:szCs w:val="22"/>
        </w:rPr>
      </w:pPr>
      <w:r>
        <w:rPr>
          <w:rFonts w:ascii="univers" w:hAnsi="univers" w:cs="Courier New"/>
          <w:sz w:val="22"/>
          <w:szCs w:val="22"/>
        </w:rPr>
        <w:t>La documentación que origine los asientos será archivada o reproducida por los medios que disponga la Dirección, pudiendo destruirse previo los recaudos que se estimen necesarios, una vez caducada la anotación o inscripción o prescri</w:t>
      </w:r>
      <w:r>
        <w:rPr>
          <w:rFonts w:ascii="univers" w:hAnsi="univers" w:cs="Courier New"/>
          <w:sz w:val="22"/>
          <w:szCs w:val="22"/>
        </w:rPr>
        <w:t>pto el derecho del titular anterior.</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40 -</w:t>
      </w:r>
      <w:r>
        <w:rPr>
          <w:rFonts w:ascii="univers" w:hAnsi="univers" w:cs="Courier New"/>
          <w:sz w:val="22"/>
          <w:szCs w:val="22"/>
        </w:rPr>
        <w:t xml:space="preserve"> La Dirección ordenará la Mesa de Entradas y el sistema de ordenamiento diario de manera de asegurar las prioridades que surgen del artículo 19 de la Ley y concordantes.</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Artículos 41 y 42 -</w:t>
      </w:r>
      <w:r>
        <w:rPr>
          <w:rFonts w:ascii="univers" w:hAnsi="univers" w:cs="Courier New"/>
          <w:sz w:val="22"/>
          <w:szCs w:val="22"/>
        </w:rPr>
        <w:t xml:space="preserve"> Sin reglamenta</w:t>
      </w:r>
      <w:r>
        <w:rPr>
          <w:rFonts w:ascii="univers" w:hAnsi="univers" w:cs="Courier New"/>
          <w:sz w:val="22"/>
          <w:szCs w:val="22"/>
        </w:rPr>
        <w:t>r.</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lastRenderedPageBreak/>
        <w:t>Artículos 43 y 45 -</w:t>
      </w:r>
      <w:r>
        <w:rPr>
          <w:rFonts w:ascii="univers" w:hAnsi="univers" w:cs="Courier New"/>
          <w:sz w:val="22"/>
          <w:szCs w:val="22"/>
        </w:rPr>
        <w:t xml:space="preserve"> Adóptanse en la Provincia los plazos de la Ley Nacional Nº 17.801 #. Los establecidos en dicha ley y en la presente se computarán en días corridos.</w:t>
      </w:r>
    </w:p>
    <w:p w:rsidR="00000000" w:rsidRDefault="00AC1739">
      <w:pPr>
        <w:pBdr>
          <w:bar w:val="single" w:sz="4" w:color="auto"/>
        </w:pBdr>
        <w:jc w:val="both"/>
        <w:rPr>
          <w:rFonts w:ascii="univers" w:hAnsi="univers" w:cs="Courier New"/>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44 -</w:t>
      </w:r>
      <w:r>
        <w:rPr>
          <w:rFonts w:ascii="univers" w:hAnsi="univers" w:cs="Courier New"/>
          <w:sz w:val="22"/>
          <w:szCs w:val="22"/>
        </w:rPr>
        <w:t xml:space="preserve"> Reglamentado con el artículo 10.</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bCs/>
          <w:sz w:val="22"/>
          <w:szCs w:val="22"/>
        </w:rPr>
      </w:pPr>
      <w:r>
        <w:rPr>
          <w:rFonts w:ascii="univers" w:hAnsi="univers" w:cs="Courier New"/>
          <w:b/>
          <w:sz w:val="22"/>
          <w:szCs w:val="22"/>
        </w:rPr>
        <w:t>Artículo 45</w:t>
      </w:r>
      <w:r>
        <w:rPr>
          <w:rFonts w:ascii="univers" w:hAnsi="univers" w:cs="Courier New"/>
          <w:sz w:val="22"/>
          <w:szCs w:val="22"/>
        </w:rPr>
        <w:t xml:space="preserve"> </w:t>
      </w:r>
      <w:r>
        <w:rPr>
          <w:rFonts w:ascii="univers" w:hAnsi="univers" w:cs="Courier New"/>
          <w:b/>
          <w:sz w:val="22"/>
          <w:szCs w:val="22"/>
        </w:rPr>
        <w:t xml:space="preserve">- </w:t>
      </w:r>
      <w:r>
        <w:rPr>
          <w:rFonts w:ascii="univers" w:hAnsi="univers" w:cs="Courier New"/>
          <w:bCs/>
          <w:sz w:val="22"/>
          <w:szCs w:val="22"/>
        </w:rPr>
        <w:t>Reglamentado con el a</w:t>
      </w:r>
      <w:r>
        <w:rPr>
          <w:rFonts w:ascii="univers" w:hAnsi="univers" w:cs="Courier New"/>
          <w:bCs/>
          <w:sz w:val="22"/>
          <w:szCs w:val="22"/>
        </w:rPr>
        <w:t>rtículo 43.</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46 -</w:t>
      </w:r>
      <w:r>
        <w:rPr>
          <w:rFonts w:ascii="univers" w:hAnsi="univers" w:cs="Courier New"/>
          <w:sz w:val="22"/>
          <w:szCs w:val="22"/>
        </w:rPr>
        <w:t xml:space="preserve"> El Registro llevará por lo menos los siguientes índices organizados en base a registros que permitan intercalar sucesivos asientos:</w:t>
      </w:r>
    </w:p>
    <w:p w:rsidR="00000000" w:rsidRDefault="00AC1739">
      <w:pPr>
        <w:pBdr>
          <w:bar w:val="single" w:sz="4" w:color="auto"/>
        </w:pBdr>
        <w:jc w:val="both"/>
        <w:rPr>
          <w:rFonts w:ascii="univers" w:hAnsi="univers" w:cs="Courier New"/>
          <w:sz w:val="22"/>
          <w:szCs w:val="22"/>
        </w:rPr>
      </w:pPr>
    </w:p>
    <w:p w:rsidR="00000000" w:rsidRDefault="00AC1739">
      <w:pPr>
        <w:numPr>
          <w:ilvl w:val="0"/>
          <w:numId w:val="3"/>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De titulares de dominios, condominios y nula propiedad ordenados por orden estricto alfabético d</w:t>
      </w:r>
      <w:r>
        <w:rPr>
          <w:rFonts w:ascii="univers" w:hAnsi="univers" w:cs="Courier New"/>
          <w:sz w:val="22"/>
          <w:szCs w:val="22"/>
        </w:rPr>
        <w:t>e apellidos y nombres, con remisión a la matrícula en que haya inscripción a su nombre. La ficha se anulará y retirará del fichero al cancelarse la inscripción.</w:t>
      </w:r>
    </w:p>
    <w:p w:rsidR="00000000" w:rsidRDefault="00AC1739">
      <w:pPr>
        <w:numPr>
          <w:ilvl w:val="0"/>
          <w:numId w:val="3"/>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De denominaciones catastrales, las que se remitirán a la matrícula correspondiente al inmueble;</w:t>
      </w:r>
    </w:p>
    <w:p w:rsidR="00000000" w:rsidRDefault="00AC1739">
      <w:pPr>
        <w:numPr>
          <w:ilvl w:val="0"/>
          <w:numId w:val="3"/>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De personas inhibidas para disponer libremente de sus bienes inmuebles. Se llevará también por estricto orden alfabético de apellidos y nombres y las fichas se retirarán al cancelarse o caducar la anotación.</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47 -</w:t>
      </w:r>
      <w:r>
        <w:rPr>
          <w:rFonts w:ascii="univers" w:hAnsi="univers" w:cs="Courier New"/>
          <w:sz w:val="22"/>
          <w:szCs w:val="22"/>
        </w:rPr>
        <w:t xml:space="preserve"> El Director y Subdirector del Re</w:t>
      </w:r>
      <w:r>
        <w:rPr>
          <w:rFonts w:ascii="univers" w:hAnsi="univers" w:cs="Courier New"/>
          <w:sz w:val="22"/>
          <w:szCs w:val="22"/>
        </w:rPr>
        <w:t>gistro de la Propiedad Inmueble será abogado o escribano con actuación en la función registral durante un plazo no menor de cinco años. Será designado por el Poder Ejecutivo.</w:t>
      </w:r>
    </w:p>
    <w:p w:rsidR="00000000" w:rsidRDefault="00AC1739">
      <w:pPr>
        <w:pStyle w:val="Sangradetextonormal"/>
      </w:pPr>
      <w:r>
        <w:t>Compete a la Dirección del Registro:</w:t>
      </w:r>
    </w:p>
    <w:p w:rsidR="00000000" w:rsidRDefault="00AC1739">
      <w:pPr>
        <w:pBdr>
          <w:bar w:val="single" w:sz="4" w:color="auto"/>
        </w:pBdr>
        <w:jc w:val="both"/>
        <w:rPr>
          <w:rFonts w:ascii="univers" w:hAnsi="univers" w:cs="Courier New"/>
          <w:sz w:val="22"/>
          <w:szCs w:val="22"/>
        </w:rPr>
      </w:pPr>
    </w:p>
    <w:p w:rsidR="00000000" w:rsidRDefault="00AC1739">
      <w:pPr>
        <w:numPr>
          <w:ilvl w:val="0"/>
          <w:numId w:val="4"/>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Orientar la actividad del organismo dando a</w:t>
      </w:r>
      <w:r>
        <w:rPr>
          <w:rFonts w:ascii="univers" w:hAnsi="univers" w:cs="Courier New"/>
          <w:sz w:val="22"/>
          <w:szCs w:val="22"/>
        </w:rPr>
        <w:t>l personal las instrucciones que convengan al mejor servicio, procurando establecer y mantener una unidad funcional y de interpretación;</w:t>
      </w:r>
    </w:p>
    <w:p w:rsidR="00000000" w:rsidRDefault="00AC1739">
      <w:pPr>
        <w:numPr>
          <w:ilvl w:val="0"/>
          <w:numId w:val="4"/>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Aplicar y hacer cumplir las normas y leyes registrales;</w:t>
      </w:r>
    </w:p>
    <w:p w:rsidR="00000000" w:rsidRDefault="00AC1739">
      <w:pPr>
        <w:numPr>
          <w:ilvl w:val="0"/>
          <w:numId w:val="4"/>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Asignar tareas y responsabilidades a sus agentes;</w:t>
      </w:r>
    </w:p>
    <w:p w:rsidR="00000000" w:rsidRDefault="00AC1739">
      <w:pPr>
        <w:numPr>
          <w:ilvl w:val="0"/>
          <w:numId w:val="4"/>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 xml:space="preserve">Establecer y </w:t>
      </w:r>
      <w:r>
        <w:rPr>
          <w:rFonts w:ascii="univers" w:hAnsi="univers" w:cs="Courier New"/>
          <w:sz w:val="22"/>
          <w:szCs w:val="22"/>
        </w:rPr>
        <w:t>coordinar las relaciones con los organismos e instituciones similares o afines;</w:t>
      </w:r>
    </w:p>
    <w:p w:rsidR="00000000" w:rsidRDefault="00AC1739">
      <w:pPr>
        <w:numPr>
          <w:ilvl w:val="0"/>
          <w:numId w:val="4"/>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Disponer los estudios que correspondan a la especialidad, publicar sus conclusiones y cuadros estadísticos del movimiento registral, editar un boletín de informaciones y la com</w:t>
      </w:r>
      <w:r>
        <w:rPr>
          <w:rFonts w:ascii="univers" w:hAnsi="univers" w:cs="Courier New"/>
          <w:sz w:val="22"/>
          <w:szCs w:val="22"/>
        </w:rPr>
        <w:t>pilación actualizada de disposiciones legales y reglamentarias atinentes a su funcionamiento, coleccionar la legislación, jurisprudencia y bibliografía especializada y establecer el canje de las publicaciones;</w:t>
      </w:r>
    </w:p>
    <w:p w:rsidR="00000000" w:rsidRDefault="00AC1739">
      <w:pPr>
        <w:numPr>
          <w:ilvl w:val="0"/>
          <w:numId w:val="4"/>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 xml:space="preserve">Participar en congresos, asambleas y jornadas </w:t>
      </w:r>
      <w:r>
        <w:rPr>
          <w:rFonts w:ascii="univers" w:hAnsi="univers" w:cs="Courier New"/>
          <w:sz w:val="22"/>
          <w:szCs w:val="22"/>
        </w:rPr>
        <w:t>en los que se traten temas relacionados con el Registro;</w:t>
      </w:r>
    </w:p>
    <w:p w:rsidR="00000000" w:rsidRDefault="00AC1739">
      <w:pPr>
        <w:numPr>
          <w:ilvl w:val="0"/>
          <w:numId w:val="4"/>
        </w:numPr>
        <w:pBdr>
          <w:bar w:val="single" w:sz="4" w:color="auto"/>
        </w:pBdr>
        <w:tabs>
          <w:tab w:val="clear" w:pos="720"/>
        </w:tabs>
        <w:ind w:left="1122" w:hanging="374"/>
        <w:jc w:val="both"/>
        <w:rPr>
          <w:rFonts w:ascii="univers" w:hAnsi="univers" w:cs="Courier New"/>
          <w:sz w:val="22"/>
          <w:szCs w:val="22"/>
        </w:rPr>
      </w:pPr>
      <w:r>
        <w:rPr>
          <w:rFonts w:ascii="univers" w:hAnsi="univers" w:cs="Courier New"/>
          <w:sz w:val="22"/>
          <w:szCs w:val="22"/>
        </w:rPr>
        <w:t>Procurar la colaboración financiera y asesoramiento de los colegios profesionales y otras organizaciones especializadas a cuyo efecto elevará los proyectos respectivos.</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48 -</w:t>
      </w:r>
      <w:r>
        <w:rPr>
          <w:rFonts w:ascii="univers" w:hAnsi="univers" w:cs="Courier New"/>
          <w:sz w:val="22"/>
          <w:szCs w:val="22"/>
        </w:rPr>
        <w:t xml:space="preserve"> En los asientos</w:t>
      </w:r>
      <w:r>
        <w:rPr>
          <w:rFonts w:ascii="univers" w:hAnsi="univers" w:cs="Courier New"/>
          <w:sz w:val="22"/>
          <w:szCs w:val="22"/>
        </w:rPr>
        <w:t>, certificaciones, constancias y otros documentos del Registro, los raspados, interlineados y enmendados serán salvados de puño y letra por el inscriptor responsable a continuación de la última palabra del texto y antes de su firma, la que certificará el c</w:t>
      </w:r>
      <w:r>
        <w:rPr>
          <w:rFonts w:ascii="univers" w:hAnsi="univers" w:cs="Courier New"/>
          <w:sz w:val="22"/>
          <w:szCs w:val="22"/>
        </w:rPr>
        <w:t>ontenido del asiento.</w:t>
      </w:r>
    </w:p>
    <w:p w:rsidR="00000000" w:rsidRDefault="00AC1739">
      <w:pPr>
        <w:pBdr>
          <w:bar w:val="single" w:sz="4" w:color="auto"/>
        </w:pBdr>
        <w:jc w:val="both"/>
        <w:rPr>
          <w:rFonts w:ascii="univers" w:hAnsi="univers" w:cs="Courier New"/>
          <w:b/>
          <w:sz w:val="22"/>
          <w:szCs w:val="22"/>
        </w:rPr>
      </w:pPr>
    </w:p>
    <w:p w:rsidR="00000000" w:rsidRDefault="00AC1739">
      <w:pPr>
        <w:pBdr>
          <w:bar w:val="single" w:sz="4" w:color="auto"/>
        </w:pBdr>
        <w:jc w:val="both"/>
        <w:rPr>
          <w:rFonts w:ascii="univers" w:hAnsi="univers" w:cs="Courier New"/>
          <w:sz w:val="22"/>
          <w:szCs w:val="22"/>
        </w:rPr>
      </w:pPr>
      <w:r>
        <w:rPr>
          <w:rFonts w:ascii="univers" w:hAnsi="univers" w:cs="Courier New"/>
          <w:b/>
          <w:sz w:val="22"/>
          <w:szCs w:val="22"/>
        </w:rPr>
        <w:t>Artículo 49 -</w:t>
      </w:r>
      <w:r>
        <w:rPr>
          <w:rFonts w:ascii="univers" w:hAnsi="univers" w:cs="Courier New"/>
          <w:sz w:val="22"/>
          <w:szCs w:val="22"/>
        </w:rPr>
        <w:t xml:space="preserve"> El Director del Registro Inmobiliario es la autoridad de aplicación establecida por el artículo 42 de la Ley Nacional Nº 14.394 #. El Bien de Familia se inscribirá en el Registro de la Propiedad en el folio respectivo d</w:t>
      </w:r>
      <w:r>
        <w:rPr>
          <w:rFonts w:ascii="univers" w:hAnsi="univers" w:cs="Courier New"/>
          <w:sz w:val="22"/>
          <w:szCs w:val="22"/>
        </w:rPr>
        <w:t xml:space="preserve">el inmueble afectado. Se constituirá previamente, por acta notarial, por acta autorizada por el Director del Registro o por el modo previsto en el artículo 44 en caso de disposición testamentaria. </w:t>
      </w:r>
      <w:r>
        <w:rPr>
          <w:rFonts w:ascii="univers" w:hAnsi="univers" w:cs="Courier New"/>
          <w:sz w:val="22"/>
          <w:szCs w:val="22"/>
        </w:rPr>
        <w:lastRenderedPageBreak/>
        <w:t>La desafectación se hará por acta notarial o por acta autor</w:t>
      </w:r>
      <w:r>
        <w:rPr>
          <w:rFonts w:ascii="univers" w:hAnsi="univers" w:cs="Courier New"/>
          <w:sz w:val="22"/>
          <w:szCs w:val="22"/>
        </w:rPr>
        <w:t>izada por el Director del Registro cuando fuese voluntaria o por sentencia judicial cuando no lo fuere.</w:t>
      </w:r>
    </w:p>
    <w:p w:rsidR="00000000" w:rsidRDefault="00AC1739">
      <w:pPr>
        <w:pBdr>
          <w:bar w:val="single" w:sz="4" w:color="auto"/>
        </w:pBdr>
        <w:jc w:val="both"/>
        <w:rPr>
          <w:rFonts w:ascii="univers" w:hAnsi="univers" w:cs="Courier New"/>
          <w:b/>
          <w:sz w:val="22"/>
          <w:szCs w:val="22"/>
        </w:rPr>
      </w:pPr>
    </w:p>
    <w:p w:rsidR="00AC1739" w:rsidRDefault="00AC1739">
      <w:pPr>
        <w:pBdr>
          <w:bar w:val="single" w:sz="4" w:color="auto"/>
        </w:pBdr>
        <w:jc w:val="both"/>
        <w:rPr>
          <w:rFonts w:ascii="univers" w:hAnsi="univers" w:cs="Courier New"/>
          <w:sz w:val="22"/>
          <w:szCs w:val="22"/>
        </w:rPr>
      </w:pPr>
      <w:r>
        <w:rPr>
          <w:rFonts w:ascii="univers" w:hAnsi="univers" w:cs="Courier New"/>
          <w:b/>
          <w:sz w:val="22"/>
          <w:szCs w:val="22"/>
        </w:rPr>
        <w:t>Artículo 50 -</w:t>
      </w:r>
      <w:r>
        <w:rPr>
          <w:rFonts w:ascii="univers" w:hAnsi="univers" w:cs="Courier New"/>
          <w:sz w:val="22"/>
          <w:szCs w:val="22"/>
        </w:rPr>
        <w:t xml:space="preserve"> Las disposiciones del Director del Registro serán numeradas y archivadas cronológicamente y los técnicos registrales serán notificadas al</w:t>
      </w:r>
      <w:r>
        <w:rPr>
          <w:rFonts w:ascii="univers" w:hAnsi="univers" w:cs="Courier New"/>
          <w:sz w:val="22"/>
          <w:szCs w:val="22"/>
        </w:rPr>
        <w:t xml:space="preserve"> Superior Tribunal de Justicia, Cámara de Apelaciones, Ministerio de Gobierno, Colegio de Escribanos, de Abogados, Procuradores y Agrimensores.</w:t>
      </w:r>
    </w:p>
    <w:sectPr w:rsidR="00AC1739">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C5B"/>
    <w:multiLevelType w:val="hybridMultilevel"/>
    <w:tmpl w:val="31DAD6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2B130B"/>
    <w:multiLevelType w:val="hybridMultilevel"/>
    <w:tmpl w:val="401E11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0CE2459"/>
    <w:multiLevelType w:val="hybridMultilevel"/>
    <w:tmpl w:val="4438A07A"/>
    <w:lvl w:ilvl="0" w:tplc="FDBE0244">
      <w:start w:val="1"/>
      <w:numFmt w:val="lowerLetter"/>
      <w:lvlText w:val="%1)"/>
      <w:lvlJc w:val="left"/>
      <w:pPr>
        <w:tabs>
          <w:tab w:val="num" w:pos="907"/>
        </w:tabs>
        <w:ind w:left="907" w:hanging="510"/>
      </w:pPr>
      <w:rPr>
        <w:rFonts w:hint="default"/>
      </w:rPr>
    </w:lvl>
    <w:lvl w:ilvl="1" w:tplc="0C0A0019" w:tentative="1">
      <w:start w:val="1"/>
      <w:numFmt w:val="lowerLetter"/>
      <w:lvlText w:val="%2."/>
      <w:lvlJc w:val="left"/>
      <w:pPr>
        <w:tabs>
          <w:tab w:val="num" w:pos="1477"/>
        </w:tabs>
        <w:ind w:left="1477" w:hanging="360"/>
      </w:pPr>
    </w:lvl>
    <w:lvl w:ilvl="2" w:tplc="0C0A001B" w:tentative="1">
      <w:start w:val="1"/>
      <w:numFmt w:val="lowerRoman"/>
      <w:lvlText w:val="%3."/>
      <w:lvlJc w:val="right"/>
      <w:pPr>
        <w:tabs>
          <w:tab w:val="num" w:pos="2197"/>
        </w:tabs>
        <w:ind w:left="2197" w:hanging="180"/>
      </w:pPr>
    </w:lvl>
    <w:lvl w:ilvl="3" w:tplc="0C0A000F" w:tentative="1">
      <w:start w:val="1"/>
      <w:numFmt w:val="decimal"/>
      <w:lvlText w:val="%4."/>
      <w:lvlJc w:val="left"/>
      <w:pPr>
        <w:tabs>
          <w:tab w:val="num" w:pos="2917"/>
        </w:tabs>
        <w:ind w:left="2917" w:hanging="360"/>
      </w:pPr>
    </w:lvl>
    <w:lvl w:ilvl="4" w:tplc="0C0A0019" w:tentative="1">
      <w:start w:val="1"/>
      <w:numFmt w:val="lowerLetter"/>
      <w:lvlText w:val="%5."/>
      <w:lvlJc w:val="left"/>
      <w:pPr>
        <w:tabs>
          <w:tab w:val="num" w:pos="3637"/>
        </w:tabs>
        <w:ind w:left="3637" w:hanging="360"/>
      </w:pPr>
    </w:lvl>
    <w:lvl w:ilvl="5" w:tplc="0C0A001B" w:tentative="1">
      <w:start w:val="1"/>
      <w:numFmt w:val="lowerRoman"/>
      <w:lvlText w:val="%6."/>
      <w:lvlJc w:val="right"/>
      <w:pPr>
        <w:tabs>
          <w:tab w:val="num" w:pos="4357"/>
        </w:tabs>
        <w:ind w:left="4357" w:hanging="180"/>
      </w:pPr>
    </w:lvl>
    <w:lvl w:ilvl="6" w:tplc="0C0A000F" w:tentative="1">
      <w:start w:val="1"/>
      <w:numFmt w:val="decimal"/>
      <w:lvlText w:val="%7."/>
      <w:lvlJc w:val="left"/>
      <w:pPr>
        <w:tabs>
          <w:tab w:val="num" w:pos="5077"/>
        </w:tabs>
        <w:ind w:left="5077" w:hanging="360"/>
      </w:pPr>
    </w:lvl>
    <w:lvl w:ilvl="7" w:tplc="0C0A0019" w:tentative="1">
      <w:start w:val="1"/>
      <w:numFmt w:val="lowerLetter"/>
      <w:lvlText w:val="%8."/>
      <w:lvlJc w:val="left"/>
      <w:pPr>
        <w:tabs>
          <w:tab w:val="num" w:pos="5797"/>
        </w:tabs>
        <w:ind w:left="5797" w:hanging="360"/>
      </w:pPr>
    </w:lvl>
    <w:lvl w:ilvl="8" w:tplc="0C0A001B" w:tentative="1">
      <w:start w:val="1"/>
      <w:numFmt w:val="lowerRoman"/>
      <w:lvlText w:val="%9."/>
      <w:lvlJc w:val="right"/>
      <w:pPr>
        <w:tabs>
          <w:tab w:val="num" w:pos="6517"/>
        </w:tabs>
        <w:ind w:left="6517" w:hanging="180"/>
      </w:pPr>
    </w:lvl>
  </w:abstractNum>
  <w:abstractNum w:abstractNumId="3">
    <w:nsid w:val="29665C5F"/>
    <w:multiLevelType w:val="hybridMultilevel"/>
    <w:tmpl w:val="E03E4EF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B5512B5"/>
    <w:multiLevelType w:val="hybridMultilevel"/>
    <w:tmpl w:val="E5B050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9"/>
  <w:hyphenationZone w:val="425"/>
  <w:drawingGridHorizontalSpacing w:val="187"/>
  <w:drawingGridVerticalSpacing w:val="12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E64"/>
    <w:rsid w:val="00721E64"/>
    <w:rsid w:val="00AC173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Courier New" w:hAnsi="Courier New"/>
      <w:b/>
      <w:sz w:val="28"/>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NewRoman">
    <w:name w:val="Times New Roman"/>
    <w:pPr>
      <w:ind w:firstLine="227"/>
      <w:jc w:val="both"/>
    </w:pPr>
    <w:rPr>
      <w:snapToGrid w:val="0"/>
      <w:sz w:val="16"/>
      <w:lang w:val="es-ES" w:eastAsia="es-ES"/>
    </w:rPr>
  </w:style>
  <w:style w:type="paragraph" w:styleId="Ttulo">
    <w:name w:val="Title"/>
    <w:basedOn w:val="Normal"/>
    <w:qFormat/>
    <w:pPr>
      <w:spacing w:before="240" w:after="60"/>
      <w:jc w:val="center"/>
      <w:outlineLvl w:val="0"/>
    </w:pPr>
    <w:rPr>
      <w:rFonts w:ascii="Arial" w:hAnsi="Arial" w:cs="Arial"/>
      <w:b/>
      <w:bCs/>
      <w:kern w:val="28"/>
      <w:sz w:val="32"/>
      <w:szCs w:val="32"/>
      <w:lang w:val="en-US" w:eastAsia="en-US"/>
    </w:rPr>
  </w:style>
  <w:style w:type="paragraph" w:styleId="Subttulo">
    <w:name w:val="Subtitle"/>
    <w:basedOn w:val="Normal"/>
    <w:qFormat/>
    <w:pPr>
      <w:spacing w:after="60"/>
      <w:jc w:val="center"/>
      <w:outlineLvl w:val="1"/>
    </w:pPr>
    <w:rPr>
      <w:rFonts w:ascii="Arial" w:hAnsi="Arial" w:cs="Arial"/>
      <w:lang w:val="en-US" w:eastAsia="en-US"/>
    </w:rPr>
  </w:style>
  <w:style w:type="paragraph" w:styleId="Sangradetextonormal">
    <w:name w:val="Body Text Indent"/>
    <w:basedOn w:val="Normal"/>
    <w:semiHidden/>
    <w:pPr>
      <w:pBdr>
        <w:bar w:val="single" w:sz="4" w:color="auto"/>
      </w:pBdr>
      <w:ind w:firstLine="561"/>
      <w:jc w:val="both"/>
    </w:pPr>
    <w:rPr>
      <w:rFonts w:ascii="univers" w:hAnsi="univers" w:cs="Courier New"/>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2306</Words>
  <Characters>12686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TEXTO DEFINITIVO</vt:lpstr>
    </vt:vector>
  </TitlesOfParts>
  <Company>Hewlett-Packard</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DEFINITIVO</dc:title>
  <dc:creator>garcia</dc:creator>
  <cp:lastModifiedBy>Sylvia</cp:lastModifiedBy>
  <cp:revision>2</cp:revision>
  <dcterms:created xsi:type="dcterms:W3CDTF">2015-08-26T14:48:00Z</dcterms:created>
  <dcterms:modified xsi:type="dcterms:W3CDTF">2015-08-26T14:48:00Z</dcterms:modified>
</cp:coreProperties>
</file>